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528E9C44" w:rsidR="00701AF6" w:rsidRDefault="000C34DD" w:rsidP="00701AF6">
      <w:pPr>
        <w:spacing w:after="179"/>
        <w:ind w:right="213"/>
        <w:jc w:val="left"/>
        <w:rPr>
          <w:rFonts w:cs="B Titr"/>
          <w:sz w:val="20"/>
          <w:szCs w:val="20"/>
          <w:rtl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7971BAA5" w14:textId="6158956F" w:rsidR="000C34DD" w:rsidRPr="00E464BF" w:rsidRDefault="00E464BF" w:rsidP="00014B32">
      <w:pPr>
        <w:spacing w:after="179"/>
        <w:ind w:right="213"/>
        <w:jc w:val="both"/>
        <w:rPr>
          <w:rFonts w:cs="B Titr"/>
          <w:sz w:val="48"/>
          <w:szCs w:val="48"/>
          <w:rtl/>
        </w:rPr>
      </w:pPr>
      <w:r>
        <w:rPr>
          <w:rFonts w:cs="B Titr" w:hint="cs"/>
          <w:sz w:val="32"/>
          <w:szCs w:val="32"/>
          <w:rtl/>
        </w:rPr>
        <w:t xml:space="preserve">               </w:t>
      </w:r>
      <w:r w:rsidR="00014B32">
        <w:rPr>
          <w:rFonts w:cs="B Titr" w:hint="cs"/>
          <w:sz w:val="32"/>
          <w:szCs w:val="32"/>
          <w:rtl/>
        </w:rPr>
        <w:t xml:space="preserve">                          </w:t>
      </w:r>
      <w:r>
        <w:rPr>
          <w:rFonts w:cs="B Titr" w:hint="cs"/>
          <w:sz w:val="32"/>
          <w:szCs w:val="32"/>
          <w:rtl/>
        </w:rPr>
        <w:t xml:space="preserve">    </w:t>
      </w:r>
      <w:r w:rsidR="00014B32">
        <w:rPr>
          <w:rFonts w:cs="B Titr" w:hint="cs"/>
          <w:sz w:val="32"/>
          <w:szCs w:val="32"/>
          <w:rtl/>
        </w:rPr>
        <w:t>مفصل گیجگاهی فکی و اکلوژن</w:t>
      </w: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2FED317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2FA1545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C37DC21" w:rsidR="00701AF6" w:rsidRPr="00E464BF" w:rsidRDefault="00701AF6" w:rsidP="0000255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</w:t>
            </w:r>
            <w:r w:rsidR="00E464BF">
              <w:rPr>
                <w:rFonts w:cs="Arial" w:hint="cs"/>
                <w:rtl/>
              </w:rPr>
              <w:t>دکترای عمومی 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3DD7D35A" w:rsidR="00701AF6" w:rsidRDefault="00701AF6" w:rsidP="00014B3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014B32">
              <w:rPr>
                <w:rFonts w:ascii="Nazanin" w:eastAsia="Nazanin" w:hAnsi="Nazanin" w:cs="Nazanin" w:hint="cs"/>
                <w:b/>
                <w:bCs/>
                <w:rtl/>
              </w:rPr>
              <w:t>مفصل گیجگاهی فکی و اکلوژن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77DC99E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64378735" w:rsidR="00701AF6" w:rsidRDefault="00701AF6" w:rsidP="00EF398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014B32">
              <w:rPr>
                <w:rFonts w:ascii="Nazanin" w:eastAsia="Nazanin" w:hAnsi="Nazanin" w:cs="Nazanin" w:hint="cs"/>
                <w:b/>
                <w:bCs/>
                <w:rtl/>
              </w:rPr>
              <w:t>مفصل گیجگاهی فکی و اکلوژن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0EBE9F19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</w:t>
            </w:r>
            <w:r w:rsidR="00E464BF">
              <w:rPr>
                <w:rFonts w:ascii="Nazanin" w:eastAsia="Nazanin" w:hAnsi="Nazanin" w:cs="Nazanin" w:hint="cs"/>
                <w:rtl/>
              </w:rPr>
              <w:t>نیمسال دوم 1402-1403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E464BF">
              <w:rPr>
                <w:rFonts w:ascii="Nazanin" w:eastAsia="Nazanin" w:hAnsi="Nazanin" w:cs="Nazanin" w:hint="cs"/>
                <w:rtl/>
              </w:rPr>
              <w:t>بهمن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>1397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6EFA3221" w:rsidR="00701AF6" w:rsidRPr="00E464BF" w:rsidRDefault="00701AF6" w:rsidP="00EF398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014B32">
              <w:rPr>
                <w:rFonts w:cs="Arial" w:hint="cs"/>
                <w:rtl/>
                <w:lang w:bidi="fa-IR"/>
              </w:rPr>
              <w:t>دکتر</w:t>
            </w:r>
            <w:r w:rsidR="00EF3982">
              <w:rPr>
                <w:rFonts w:cs="Arial" w:hint="cs"/>
                <w:rtl/>
                <w:lang w:bidi="fa-IR"/>
              </w:rPr>
              <w:t xml:space="preserve"> جنتی</w:t>
            </w:r>
            <w:r w:rsidR="00014B32">
              <w:rPr>
                <w:rFonts w:cs="Arial" w:hint="cs"/>
                <w:rtl/>
                <w:lang w:bidi="fa-IR"/>
              </w:rPr>
              <w:t>، دکتر وثوق، دکتر افسا، دکتر صداقت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4A2EAF2F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E464BF">
              <w:rPr>
                <w:rFonts w:cs="Arial" w:hint="cs"/>
                <w:rtl/>
                <w:lang w:bidi="fa-IR"/>
              </w:rPr>
              <w:t xml:space="preserve">دکتر </w:t>
            </w:r>
            <w:r w:rsidR="00EF3982">
              <w:rPr>
                <w:rFonts w:cs="Arial" w:hint="cs"/>
                <w:rtl/>
                <w:lang w:bidi="fa-IR"/>
              </w:rPr>
              <w:t>پویا جنتی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D583368" w:rsidR="00701AF6" w:rsidRPr="00E464BF" w:rsidRDefault="00701AF6" w:rsidP="00EF3982">
            <w:pPr>
              <w:ind w:left="1"/>
              <w:jc w:val="left"/>
              <w:rPr>
                <w:rFonts w:asciiTheme="minorHAnsi" w:hAnsiTheme="minorHAnsi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EF3982">
              <w:rPr>
                <w:rFonts w:asciiTheme="minorHAnsi" w:eastAsia="Nazanin" w:hAnsiTheme="minorHAnsi" w:cs="Nazanin"/>
                <w:b/>
                <w:bCs/>
              </w:rPr>
              <w:t>pooya_jannati</w:t>
            </w:r>
            <w:r w:rsidR="00E464BF">
              <w:rPr>
                <w:rFonts w:asciiTheme="minorHAnsi" w:eastAsia="Nazanin" w:hAnsiTheme="minorHAnsi" w:cs="Nazanin"/>
                <w:b/>
                <w:bCs/>
              </w:rPr>
              <w:t>@yahoo.com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2B168973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E464BF">
              <w:rPr>
                <w:rFonts w:cs="Arial" w:hint="cs"/>
                <w:rtl/>
                <w:lang w:bidi="fa-IR"/>
              </w:rPr>
              <w:t xml:space="preserve"> دکتر </w:t>
            </w:r>
            <w:r w:rsidR="00EF3982">
              <w:rPr>
                <w:rFonts w:cs="Arial" w:hint="cs"/>
                <w:rtl/>
                <w:lang w:bidi="fa-IR"/>
              </w:rPr>
              <w:t>پویا جنتی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37E2B9C2" w:rsidR="00701AF6" w:rsidRPr="00E464BF" w:rsidRDefault="00701AF6" w:rsidP="00014B32">
            <w:pPr>
              <w:jc w:val="left"/>
              <w:rPr>
                <w:rFonts w:cstheme="minorBidi"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 w:rsidR="00E464BF">
              <w:rPr>
                <w:rFonts w:cstheme="minorBidi" w:hint="cs"/>
                <w:b/>
                <w:bCs/>
                <w:rtl/>
                <w:lang w:bidi="fa-IR"/>
              </w:rPr>
              <w:t xml:space="preserve">تسلط بر </w:t>
            </w:r>
            <w:r w:rsidR="00014B32">
              <w:rPr>
                <w:rFonts w:cstheme="minorBidi" w:hint="cs"/>
                <w:b/>
                <w:bCs/>
                <w:rtl/>
                <w:lang w:bidi="fa-IR"/>
              </w:rPr>
              <w:t>اختلالات و درمان های مفصل گیجگاهی فکی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2218E2D9" w:rsidR="00701AF6" w:rsidRDefault="00701AF6" w:rsidP="00014B32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  <w:r w:rsidR="00E464BF">
              <w:rPr>
                <w:rFonts w:ascii="Nazanin" w:eastAsia="Nazanin" w:hAnsi="Nazanin" w:cs="Nazanin" w:hint="cs"/>
                <w:b/>
                <w:bCs/>
                <w:rtl/>
              </w:rPr>
              <w:t xml:space="preserve"> تسلط بر </w:t>
            </w:r>
            <w:r w:rsidR="00014B32">
              <w:rPr>
                <w:rFonts w:ascii="Nazanin" w:eastAsia="Nazanin" w:hAnsi="Nazanin" w:cs="Nazanin" w:hint="cs"/>
                <w:b/>
                <w:bCs/>
                <w:rtl/>
              </w:rPr>
              <w:t>اناتومی و فانکشن مفصل گیجگاهی فکی، انواع اکلوژن، انواع اختلالات، روش های تشخیص و درمان های جراحی و غیر جراحی مفصل گیجگاهی فکی</w:t>
            </w:r>
          </w:p>
          <w:p w14:paraId="051BE78E" w14:textId="31E624CD" w:rsidR="00701AF6" w:rsidRPr="00716E0C" w:rsidRDefault="00701AF6" w:rsidP="0000255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07BD1112" w:rsidR="004A590A" w:rsidRDefault="004A590A" w:rsidP="00002552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180E0A45" w:rsidR="004A590A" w:rsidRPr="004A590A" w:rsidRDefault="00E464BF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014B3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کتبی پایان ترم</w:t>
            </w:r>
          </w:p>
        </w:tc>
        <w:tc>
          <w:tcPr>
            <w:tcW w:w="3160" w:type="dxa"/>
          </w:tcPr>
          <w:p w14:paraId="4D0BCF50" w14:textId="6DACAA4B" w:rsidR="004A590A" w:rsidRPr="004A590A" w:rsidRDefault="00E464BF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EF398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کتبی </w:t>
            </w:r>
          </w:p>
        </w:tc>
        <w:tc>
          <w:tcPr>
            <w:tcW w:w="742" w:type="dxa"/>
          </w:tcPr>
          <w:p w14:paraId="591D0927" w14:textId="38F8CC3C" w:rsidR="004A590A" w:rsidRPr="004A590A" w:rsidRDefault="00014B32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860" w:type="dxa"/>
          </w:tcPr>
          <w:p w14:paraId="49F4F5E2" w14:textId="659B9685" w:rsidR="004A590A" w:rsidRPr="004A590A" w:rsidRDefault="00EF398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نیاز به کسب حد نصاب </w:t>
            </w:r>
            <w:r w:rsidR="00014B3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60%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نمره </w:t>
            </w:r>
            <w:r w:rsidR="00E464BF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در آزمون ورودی</w:t>
            </w: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357C62D4" w:rsidR="004A590A" w:rsidRDefault="004A590A" w:rsidP="00EF3982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014B32">
        <w:rPr>
          <w:rFonts w:cs="B Titr" w:hint="cs"/>
          <w:color w:val="auto"/>
          <w:rtl/>
        </w:rPr>
        <w:t xml:space="preserve"> داوسون 2007، اکسون 2020، رزنستیل 2016</w:t>
      </w:r>
    </w:p>
    <w:p w14:paraId="5B274D37" w14:textId="1C8640A1" w:rsidR="00404ABF" w:rsidRDefault="00404ABF" w:rsidP="00014B32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E464BF">
        <w:rPr>
          <w:rFonts w:cs="B Titr" w:hint="cs"/>
          <w:color w:val="auto"/>
          <w:rtl/>
          <w:lang w:bidi="fa-IR"/>
        </w:rPr>
        <w:t xml:space="preserve"> </w:t>
      </w:r>
      <w:r w:rsidR="00014B32">
        <w:rPr>
          <w:rFonts w:cs="B Titr" w:hint="cs"/>
          <w:color w:val="auto"/>
          <w:rtl/>
          <w:lang w:bidi="fa-IR"/>
        </w:rPr>
        <w:t>نظری</w:t>
      </w:r>
      <w:r w:rsidR="00E464BF">
        <w:rPr>
          <w:rFonts w:cs="B Titr" w:hint="cs"/>
          <w:color w:val="auto"/>
          <w:rtl/>
          <w:lang w:bidi="fa-IR"/>
        </w:rPr>
        <w:t xml:space="preserve"> - کارگاهی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54B8970B" w14:textId="77777777" w:rsidR="00E464BF" w:rsidRDefault="00E464BF" w:rsidP="004A590A">
      <w:pPr>
        <w:jc w:val="left"/>
        <w:rPr>
          <w:rFonts w:cs="B Titr"/>
          <w:rtl/>
        </w:rPr>
      </w:pPr>
    </w:p>
    <w:p w14:paraId="0B053D4E" w14:textId="77777777" w:rsidR="00E464BF" w:rsidRDefault="00E464BF" w:rsidP="004A590A">
      <w:pPr>
        <w:jc w:val="left"/>
        <w:rPr>
          <w:rFonts w:cs="B Titr"/>
          <w:rtl/>
        </w:rPr>
      </w:pPr>
    </w:p>
    <w:p w14:paraId="1CFC156A" w14:textId="77777777" w:rsidR="00E464BF" w:rsidRDefault="00E464BF" w:rsidP="004A590A">
      <w:pPr>
        <w:jc w:val="left"/>
        <w:rPr>
          <w:rFonts w:cs="B Titr"/>
          <w:rtl/>
        </w:rPr>
      </w:pPr>
    </w:p>
    <w:p w14:paraId="714EB346" w14:textId="630DA191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189"/>
        <w:gridCol w:w="991"/>
        <w:gridCol w:w="852"/>
        <w:gridCol w:w="1387"/>
        <w:gridCol w:w="2190"/>
        <w:gridCol w:w="2412"/>
        <w:gridCol w:w="2063"/>
        <w:gridCol w:w="1110"/>
        <w:gridCol w:w="1034"/>
      </w:tblGrid>
      <w:tr w:rsidR="00404ABF" w:rsidRPr="004A590A" w14:paraId="19806DCA" w14:textId="77777777" w:rsidTr="00014B32">
        <w:tc>
          <w:tcPr>
            <w:tcW w:w="1189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14B32">
              <w:rPr>
                <w:rFonts w:cs="B Nazanin" w:hint="cs"/>
                <w:b/>
                <w:bCs/>
                <w:color w:val="auto"/>
                <w:rtl/>
              </w:rPr>
              <w:lastRenderedPageBreak/>
              <w:t>شماره جلسه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90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12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063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10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4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14B32" w:rsidRPr="004A590A" w14:paraId="415F98AE" w14:textId="77777777" w:rsidTr="00014B32">
        <w:tc>
          <w:tcPr>
            <w:tcW w:w="1189" w:type="dxa"/>
          </w:tcPr>
          <w:p w14:paraId="6F009C7F" w14:textId="21ED5CDB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580A43C" w14:textId="5D3A633D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4694CA9B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28/11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4FCC71B0" w14:textId="552D86A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71325DB4" w14:textId="4E92C506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آناتومی فانکشنال و بیومکانیک مفصل </w:t>
            </w:r>
            <w:r>
              <w:rPr>
                <w:rFonts w:cs="B Nazanin"/>
                <w:lang w:bidi="fa-IR"/>
              </w:rPr>
              <w:t>TMJ</w:t>
            </w:r>
          </w:p>
        </w:tc>
        <w:tc>
          <w:tcPr>
            <w:tcW w:w="2412" w:type="dxa"/>
          </w:tcPr>
          <w:p w14:paraId="3441AA64" w14:textId="5A403544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آناتومی مفصل و عضلات مربوطه</w:t>
            </w:r>
          </w:p>
        </w:tc>
        <w:tc>
          <w:tcPr>
            <w:tcW w:w="2063" w:type="dxa"/>
          </w:tcPr>
          <w:p w14:paraId="56329CA9" w14:textId="1F68A66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EB0F388" w14:textId="2CA5E2C5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ارسن</w:t>
            </w:r>
          </w:p>
        </w:tc>
        <w:tc>
          <w:tcPr>
            <w:tcW w:w="1034" w:type="dxa"/>
          </w:tcPr>
          <w:p w14:paraId="157B9714" w14:textId="75544E5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280B44C2" w14:textId="77777777" w:rsidTr="00014B32">
        <w:tc>
          <w:tcPr>
            <w:tcW w:w="1189" w:type="dxa"/>
          </w:tcPr>
          <w:p w14:paraId="0B7130D1" w14:textId="2A0FF1A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06A8118" w14:textId="61CC45BD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0EF422E7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5/12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1FD94CB1" w14:textId="46EBBD9B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6E5FDE3E" w14:textId="5CD5AAF0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فیزیولوژی و حرکات فکی فانکشنال</w:t>
            </w:r>
          </w:p>
        </w:tc>
        <w:tc>
          <w:tcPr>
            <w:tcW w:w="2412" w:type="dxa"/>
          </w:tcPr>
          <w:p w14:paraId="6EDDD659" w14:textId="798934FE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تسهیل درک حرکات فکی</w:t>
            </w:r>
          </w:p>
        </w:tc>
        <w:tc>
          <w:tcPr>
            <w:tcW w:w="2063" w:type="dxa"/>
          </w:tcPr>
          <w:p w14:paraId="4F750ED7" w14:textId="0CC3ECF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58C72758" w14:textId="72F95A75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6B3D419E" w14:textId="77C9F14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33B024FD" w14:textId="77777777" w:rsidTr="00014B32">
        <w:tc>
          <w:tcPr>
            <w:tcW w:w="1189" w:type="dxa"/>
          </w:tcPr>
          <w:p w14:paraId="535991C7" w14:textId="40B5B6E8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E3A6E30" w14:textId="749C46F0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2F017C1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12/12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6B1ADDD8" w14:textId="6701960E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00BD923F" w14:textId="42E676EB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مفاهیم </w:t>
            </w:r>
            <w:r>
              <w:rPr>
                <w:rFonts w:cs="B Nazanin"/>
                <w:lang w:bidi="fa-IR"/>
              </w:rPr>
              <w:t>CR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/>
                <w:lang w:bidi="fa-IR"/>
              </w:rPr>
              <w:t>CO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/>
                <w:lang w:bidi="fa-IR"/>
              </w:rPr>
              <w:t>Long Centric</w:t>
            </w:r>
            <w:r>
              <w:rPr>
                <w:rFonts w:cs="B Nazanin" w:hint="cs"/>
                <w:rtl/>
                <w:lang w:bidi="fa-IR"/>
              </w:rPr>
              <w:t>، روش های ثبت بایت و خصوصیات اکلوژن ایده آل</w:t>
            </w:r>
          </w:p>
        </w:tc>
        <w:tc>
          <w:tcPr>
            <w:tcW w:w="2412" w:type="dxa"/>
          </w:tcPr>
          <w:p w14:paraId="03A02839" w14:textId="0E2ED0FD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 w:hint="cs"/>
                <w:rtl/>
                <w:lang w:bidi="fa-IR"/>
              </w:rPr>
              <w:t>درک مفاهیم مربوطه به همراه تمرین کارگاهی</w:t>
            </w:r>
          </w:p>
        </w:tc>
        <w:tc>
          <w:tcPr>
            <w:tcW w:w="2063" w:type="dxa"/>
          </w:tcPr>
          <w:p w14:paraId="3233C210" w14:textId="5365D69B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6A8BD5C" w14:textId="631031DD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127528EF" w14:textId="7930D940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- کارگاهی</w:t>
            </w:r>
          </w:p>
        </w:tc>
      </w:tr>
      <w:tr w:rsidR="00014B32" w:rsidRPr="004A590A" w14:paraId="70E06F0E" w14:textId="77777777" w:rsidTr="00014B32">
        <w:tc>
          <w:tcPr>
            <w:tcW w:w="1189" w:type="dxa"/>
          </w:tcPr>
          <w:p w14:paraId="0787DD09" w14:textId="1636C11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237594F" w14:textId="2A5A58E1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6416A87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19/12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182688A6" w14:textId="544928B4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195518F8" w14:textId="15AB74EF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آرتیکولاتور ها، مورفولوژی اکلوزال، انواع اکلوژن و تاثیر تعیین کننده های اکلوزالی بر مورفولوژی سطح جونده</w:t>
            </w:r>
          </w:p>
        </w:tc>
        <w:tc>
          <w:tcPr>
            <w:tcW w:w="2412" w:type="dxa"/>
          </w:tcPr>
          <w:p w14:paraId="70AB96F4" w14:textId="43824D9B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تسهیل درک نقش حرکات کندیلی در جزئیات اکلوژن و مورفولوژی دندان ها</w:t>
            </w:r>
          </w:p>
        </w:tc>
        <w:tc>
          <w:tcPr>
            <w:tcW w:w="2063" w:type="dxa"/>
          </w:tcPr>
          <w:p w14:paraId="01CB0153" w14:textId="04E6D839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3FE6D98" w14:textId="7F55D2C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32BF5303" w14:textId="4D7DEF06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24095B2F" w14:textId="77777777" w:rsidTr="00014B32">
        <w:tc>
          <w:tcPr>
            <w:tcW w:w="1189" w:type="dxa"/>
          </w:tcPr>
          <w:p w14:paraId="6D116B89" w14:textId="4D997A66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05765EC" w14:textId="67107498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02AC914E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25/1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1A6A50C8" w14:textId="314F166F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7BA9CD83" w14:textId="421C638A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راهنمای قدامی و اجرای راهنمای قدامی در ساخت پروتز</w:t>
            </w:r>
          </w:p>
        </w:tc>
        <w:tc>
          <w:tcPr>
            <w:tcW w:w="2412" w:type="dxa"/>
          </w:tcPr>
          <w:p w14:paraId="3C3E1805" w14:textId="54F457B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تفهیم نقش وکس آپ و ماک آپ و آنالیز اکلوژن پیش از هر درمان زیبایی</w:t>
            </w:r>
          </w:p>
        </w:tc>
        <w:tc>
          <w:tcPr>
            <w:tcW w:w="2063" w:type="dxa"/>
          </w:tcPr>
          <w:p w14:paraId="352C545B" w14:textId="2701A301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0ACE70D" w14:textId="1A8356C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042895D9" w14:textId="73479A95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4B661734" w14:textId="77777777" w:rsidTr="00014B32">
        <w:tc>
          <w:tcPr>
            <w:tcW w:w="1189" w:type="dxa"/>
          </w:tcPr>
          <w:p w14:paraId="4AE3EC8D" w14:textId="13F97100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4F6C0CE" w14:textId="7D55E8A5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94F61AC" w14:textId="26950D4B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2/1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6562DE38" w14:textId="3F2BC333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1CF40946" w14:textId="0CEC43E9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اتیولوژی بیماری های </w:t>
            </w:r>
            <w:r>
              <w:rPr>
                <w:rFonts w:cs="B Nazanin"/>
                <w:lang w:bidi="fa-IR"/>
              </w:rPr>
              <w:t>TMJ</w:t>
            </w:r>
            <w:r>
              <w:rPr>
                <w:rFonts w:cs="B Nazanin" w:hint="cs"/>
                <w:rtl/>
                <w:lang w:bidi="fa-IR"/>
              </w:rPr>
              <w:t xml:space="preserve"> و آشنایی با پارافانکشن  و اکلوژن تروماتیک</w:t>
            </w:r>
          </w:p>
        </w:tc>
        <w:tc>
          <w:tcPr>
            <w:tcW w:w="2412" w:type="dxa"/>
          </w:tcPr>
          <w:p w14:paraId="591490BB" w14:textId="48FC02AF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انواع اختلالات دندانی اکلوژن</w:t>
            </w:r>
          </w:p>
        </w:tc>
        <w:tc>
          <w:tcPr>
            <w:tcW w:w="2063" w:type="dxa"/>
          </w:tcPr>
          <w:p w14:paraId="050128A9" w14:textId="04D71BDB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18817CE4" w14:textId="3BA43B1A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3AA0F1B9" w14:textId="1D024B6E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331C0343" w14:textId="77777777" w:rsidTr="00014B32">
        <w:tc>
          <w:tcPr>
            <w:tcW w:w="1189" w:type="dxa"/>
          </w:tcPr>
          <w:p w14:paraId="50911130" w14:textId="6370CD96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84D3594" w14:textId="63CB04B0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50D521E" w14:textId="54B5F662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1B14438F" w14:textId="63B9EDA8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737085C2" w14:textId="6EDF40FC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دسته بندی اختلالات مفصل گیجگاهی </w:t>
            </w:r>
          </w:p>
        </w:tc>
        <w:tc>
          <w:tcPr>
            <w:tcW w:w="2412" w:type="dxa"/>
          </w:tcPr>
          <w:p w14:paraId="3EC86840" w14:textId="2049D83B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063" w:type="dxa"/>
          </w:tcPr>
          <w:p w14:paraId="295433FF" w14:textId="4B5466C4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1E5B81D3" w14:textId="267C1A21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37903A5E" w14:textId="7C1473D4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28A8C5E4" w14:textId="77777777" w:rsidTr="00014B32">
        <w:tc>
          <w:tcPr>
            <w:tcW w:w="1189" w:type="dxa"/>
          </w:tcPr>
          <w:p w14:paraId="44AD9ED7" w14:textId="798BE35B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B375B2" w14:textId="7E7FD2CA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6B71478" w14:textId="6DBC7718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22/2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5898FB29" w14:textId="7231C78E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7FE83D3D" w14:textId="7AC18BE4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علائم اختلالات و معاینه ی </w:t>
            </w:r>
            <w:r>
              <w:rPr>
                <w:rFonts w:cs="B Nazanin"/>
                <w:lang w:bidi="fa-IR"/>
              </w:rPr>
              <w:t>TMJ</w:t>
            </w:r>
            <w:r>
              <w:rPr>
                <w:rFonts w:cs="B Nazanin" w:hint="cs"/>
                <w:rtl/>
                <w:lang w:bidi="fa-IR"/>
              </w:rPr>
              <w:t xml:space="preserve"> (عملی: معاینه مفصل)</w:t>
            </w:r>
          </w:p>
        </w:tc>
        <w:tc>
          <w:tcPr>
            <w:tcW w:w="2412" w:type="dxa"/>
          </w:tcPr>
          <w:p w14:paraId="0B825C34" w14:textId="63C48DDF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و تمرین معاینه عضلات و مفصل</w:t>
            </w:r>
          </w:p>
        </w:tc>
        <w:tc>
          <w:tcPr>
            <w:tcW w:w="2063" w:type="dxa"/>
          </w:tcPr>
          <w:p w14:paraId="2317E0ED" w14:textId="7FF74E9B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661CBA1D" w14:textId="02033AFC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771CD874" w14:textId="37AC870C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2144FB22" w14:textId="77777777" w:rsidTr="00014B32">
        <w:tc>
          <w:tcPr>
            <w:tcW w:w="1189" w:type="dxa"/>
          </w:tcPr>
          <w:p w14:paraId="11F5BEF0" w14:textId="069E2188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BAAC68B" w14:textId="08C67D15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18F95AC" w14:textId="6E63022B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29/2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7C6D8C6C" w14:textId="67571C03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11B0FA22" w14:textId="13DA8A9D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رادیوگرافی های تشخیصی در </w:t>
            </w:r>
            <w:r>
              <w:rPr>
                <w:rFonts w:cs="B Nazanin"/>
                <w:lang w:bidi="fa-IR"/>
              </w:rPr>
              <w:t>TMD</w:t>
            </w:r>
          </w:p>
        </w:tc>
        <w:tc>
          <w:tcPr>
            <w:tcW w:w="2412" w:type="dxa"/>
          </w:tcPr>
          <w:p w14:paraId="4D78A2C6" w14:textId="4C2F3BF3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روش های تشخیصی</w:t>
            </w:r>
          </w:p>
        </w:tc>
        <w:tc>
          <w:tcPr>
            <w:tcW w:w="2063" w:type="dxa"/>
          </w:tcPr>
          <w:p w14:paraId="28095727" w14:textId="4D8F959B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0961491D" w14:textId="50FA849A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افسا</w:t>
            </w:r>
          </w:p>
        </w:tc>
        <w:tc>
          <w:tcPr>
            <w:tcW w:w="1034" w:type="dxa"/>
          </w:tcPr>
          <w:p w14:paraId="743E9E1F" w14:textId="70C5BB16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30B16E5D" w14:textId="77777777" w:rsidTr="00014B32">
        <w:tc>
          <w:tcPr>
            <w:tcW w:w="1189" w:type="dxa"/>
          </w:tcPr>
          <w:p w14:paraId="2238E492" w14:textId="7105C1DF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BA583C9" w14:textId="41B93F1C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7BDB28E" w14:textId="21E3AB65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5/3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6377A0DD" w14:textId="363311B7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7F632FB9" w14:textId="603B7305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روش های درمانی غیرجراحی اختلالات </w:t>
            </w:r>
            <w:r>
              <w:rPr>
                <w:rFonts w:cs="B Nazanin"/>
                <w:lang w:bidi="fa-IR"/>
              </w:rPr>
              <w:t>TMJ</w:t>
            </w:r>
            <w:r>
              <w:rPr>
                <w:rFonts w:cs="B Nazanin" w:hint="cs"/>
                <w:rtl/>
                <w:lang w:bidi="fa-IR"/>
              </w:rPr>
              <w:t>: درمان های دارویی - فیزیکی</w:t>
            </w:r>
          </w:p>
        </w:tc>
        <w:tc>
          <w:tcPr>
            <w:tcW w:w="2412" w:type="dxa"/>
          </w:tcPr>
          <w:p w14:paraId="1B2ACC90" w14:textId="68819633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درمان های غیرجراحی</w:t>
            </w:r>
          </w:p>
        </w:tc>
        <w:tc>
          <w:tcPr>
            <w:tcW w:w="2063" w:type="dxa"/>
          </w:tcPr>
          <w:p w14:paraId="53F669A2" w14:textId="186B3A8C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2F3F43F8" w14:textId="35BDE47C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352A9">
              <w:rPr>
                <w:rFonts w:cs="B Nazanin" w:hint="cs"/>
                <w:rtl/>
                <w:lang w:bidi="fa-IR"/>
              </w:rPr>
              <w:t>دکتر صداقت</w:t>
            </w:r>
          </w:p>
        </w:tc>
        <w:tc>
          <w:tcPr>
            <w:tcW w:w="1034" w:type="dxa"/>
          </w:tcPr>
          <w:p w14:paraId="291F4BF3" w14:textId="6CA73220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59BDD031" w14:textId="77777777" w:rsidTr="00014B32">
        <w:tc>
          <w:tcPr>
            <w:tcW w:w="1189" w:type="dxa"/>
          </w:tcPr>
          <w:p w14:paraId="054E341A" w14:textId="58D00F01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4318BE9" w14:textId="7AB6DCA6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BD1218B" w14:textId="61E8D379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12/3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4100984E" w14:textId="3C05A379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4EDFB4C3" w14:textId="3F5D1C9E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روش های درمانی غیرجراحی اختلالات </w:t>
            </w:r>
            <w:r>
              <w:rPr>
                <w:rFonts w:cs="B Nazanin"/>
                <w:lang w:bidi="fa-IR"/>
              </w:rPr>
              <w:t>TMJ</w:t>
            </w:r>
            <w:r>
              <w:rPr>
                <w:rFonts w:cs="B Nazanin" w:hint="cs"/>
                <w:rtl/>
                <w:lang w:bidi="fa-IR"/>
              </w:rPr>
              <w:t>: اسپلینت اکلوزالی</w:t>
            </w:r>
          </w:p>
        </w:tc>
        <w:tc>
          <w:tcPr>
            <w:tcW w:w="2412" w:type="dxa"/>
          </w:tcPr>
          <w:p w14:paraId="7726812A" w14:textId="4A963EE3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اسپلینت اکلوزالی از اندیکاسیون تا ساخت و فالوآپ</w:t>
            </w:r>
          </w:p>
        </w:tc>
        <w:tc>
          <w:tcPr>
            <w:tcW w:w="2063" w:type="dxa"/>
          </w:tcPr>
          <w:p w14:paraId="1B3630C8" w14:textId="64B1BB2A" w:rsidR="00014B32" w:rsidRPr="00F352A9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08FA1A56" w14:textId="50F3400A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7DD11920" w14:textId="653AEEA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43653660" w14:textId="77777777" w:rsidTr="00014B32">
        <w:tc>
          <w:tcPr>
            <w:tcW w:w="1189" w:type="dxa"/>
          </w:tcPr>
          <w:p w14:paraId="297D4F2F" w14:textId="6724E211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75375E5" w14:textId="543BD77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7DEB864" w14:textId="1CE3D21A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19/3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6654CB3D" w14:textId="6AFFDF06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5E05C71D" w14:textId="751BD021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های اکلوزال ادجاستمنت یک رستوریشن</w:t>
            </w:r>
          </w:p>
        </w:tc>
        <w:tc>
          <w:tcPr>
            <w:tcW w:w="2412" w:type="dxa"/>
          </w:tcPr>
          <w:p w14:paraId="1EB48937" w14:textId="615824F9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تسهیل کاربرد مفاهیم اکلوژن در بالین</w:t>
            </w:r>
          </w:p>
        </w:tc>
        <w:tc>
          <w:tcPr>
            <w:tcW w:w="2063" w:type="dxa"/>
          </w:tcPr>
          <w:p w14:paraId="0F00C91E" w14:textId="11661DD7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2C3037FA" w14:textId="1EEC950E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جنتی</w:t>
            </w:r>
          </w:p>
        </w:tc>
        <w:tc>
          <w:tcPr>
            <w:tcW w:w="1034" w:type="dxa"/>
          </w:tcPr>
          <w:p w14:paraId="50E02E83" w14:textId="20E1A42E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7FB8B53E" w14:textId="77777777" w:rsidTr="00014B32">
        <w:tc>
          <w:tcPr>
            <w:tcW w:w="1189" w:type="dxa"/>
          </w:tcPr>
          <w:p w14:paraId="4222F3E9" w14:textId="0E8D402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1F3FEF8" w14:textId="16C51618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8895B52" w14:textId="6C0E0CB3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26/3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6881097E" w14:textId="720A0E8F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7:30-8:30</w:t>
            </w:r>
          </w:p>
        </w:tc>
        <w:tc>
          <w:tcPr>
            <w:tcW w:w="2190" w:type="dxa"/>
          </w:tcPr>
          <w:p w14:paraId="39560329" w14:textId="06DD7492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درمان های جراحی </w:t>
            </w:r>
            <w:r>
              <w:rPr>
                <w:rFonts w:cs="B Nazanin"/>
                <w:lang w:bidi="fa-IR"/>
              </w:rPr>
              <w:t>TMJ</w:t>
            </w:r>
          </w:p>
        </w:tc>
        <w:tc>
          <w:tcPr>
            <w:tcW w:w="2412" w:type="dxa"/>
          </w:tcPr>
          <w:p w14:paraId="33C41450" w14:textId="1645D5F5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آموزش راه حل های جراحی اختلالات </w:t>
            </w: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>مفصل</w:t>
            </w:r>
          </w:p>
        </w:tc>
        <w:tc>
          <w:tcPr>
            <w:tcW w:w="2063" w:type="dxa"/>
          </w:tcPr>
          <w:p w14:paraId="044C016E" w14:textId="159383F2" w:rsidR="00014B32" w:rsidRDefault="00014B32" w:rsidP="00014B32">
            <w:pPr>
              <w:jc w:val="left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10" w:type="dxa"/>
          </w:tcPr>
          <w:p w14:paraId="72DF8D8F" w14:textId="751EF042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ارسن</w:t>
            </w:r>
          </w:p>
        </w:tc>
        <w:tc>
          <w:tcPr>
            <w:tcW w:w="1034" w:type="dxa"/>
          </w:tcPr>
          <w:p w14:paraId="0546946C" w14:textId="0B643EB3" w:rsidR="00014B32" w:rsidRPr="004A590A" w:rsidRDefault="00014B32" w:rsidP="00014B3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2552"/>
    <w:rsid w:val="00014B32"/>
    <w:rsid w:val="00060608"/>
    <w:rsid w:val="000C34DD"/>
    <w:rsid w:val="000E0078"/>
    <w:rsid w:val="000F0309"/>
    <w:rsid w:val="00100510"/>
    <w:rsid w:val="00154CAD"/>
    <w:rsid w:val="001A006D"/>
    <w:rsid w:val="001F45FE"/>
    <w:rsid w:val="002B43FA"/>
    <w:rsid w:val="003B3AB3"/>
    <w:rsid w:val="003F0657"/>
    <w:rsid w:val="00404ABF"/>
    <w:rsid w:val="00440B5F"/>
    <w:rsid w:val="004A590A"/>
    <w:rsid w:val="00520A13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D6D04"/>
    <w:rsid w:val="009F1A35"/>
    <w:rsid w:val="00A3438E"/>
    <w:rsid w:val="00AB1704"/>
    <w:rsid w:val="00AB5826"/>
    <w:rsid w:val="00B12871"/>
    <w:rsid w:val="00B96B14"/>
    <w:rsid w:val="00BC34FD"/>
    <w:rsid w:val="00BD5F33"/>
    <w:rsid w:val="00C02A1D"/>
    <w:rsid w:val="00CA3EC8"/>
    <w:rsid w:val="00DD3B7D"/>
    <w:rsid w:val="00E464BF"/>
    <w:rsid w:val="00EA01EB"/>
    <w:rsid w:val="00EF3982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HI</cp:lastModifiedBy>
  <cp:revision>5</cp:revision>
  <dcterms:created xsi:type="dcterms:W3CDTF">2024-01-30T05:13:00Z</dcterms:created>
  <dcterms:modified xsi:type="dcterms:W3CDTF">2024-02-01T18:01:00Z</dcterms:modified>
</cp:coreProperties>
</file>